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BF" w:rsidRDefault="008815BF" w:rsidP="008815BF">
      <w:pPr>
        <w:spacing w:line="560" w:lineRule="exact"/>
        <w:rPr>
          <w:rFonts w:ascii="仿宋_GB2312" w:eastAsia="仿宋_GB2312" w:cs="方正仿宋简体"/>
          <w:sz w:val="32"/>
          <w:szCs w:val="32"/>
        </w:rPr>
      </w:pPr>
      <w:r>
        <w:rPr>
          <w:rFonts w:ascii="仿宋_GB2312" w:eastAsia="仿宋_GB2312" w:cs="方正仿宋简体" w:hint="eastAsia"/>
          <w:sz w:val="32"/>
          <w:szCs w:val="32"/>
        </w:rPr>
        <w:t>附件2</w:t>
      </w:r>
    </w:p>
    <w:p w:rsidR="008815BF" w:rsidRPr="00592F59" w:rsidRDefault="008815BF" w:rsidP="008815BF">
      <w:pPr>
        <w:spacing w:line="360" w:lineRule="auto"/>
        <w:ind w:leftChars="-171" w:left="-359" w:rightChars="-140" w:right="-294"/>
        <w:jc w:val="center"/>
        <w:rPr>
          <w:rFonts w:ascii="华文中宋" w:eastAsia="华文中宋" w:hAnsi="华文中宋"/>
          <w:sz w:val="36"/>
          <w:szCs w:val="36"/>
        </w:rPr>
      </w:pPr>
      <w:r w:rsidRPr="00592F59">
        <w:rPr>
          <w:rFonts w:ascii="华文中宋" w:eastAsia="华文中宋" w:hAnsi="华文中宋" w:hint="eastAsia"/>
          <w:sz w:val="36"/>
          <w:szCs w:val="36"/>
        </w:rPr>
        <w:t>MCT云上实训课堂课程介绍</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680"/>
        <w:gridCol w:w="4253"/>
      </w:tblGrid>
      <w:tr w:rsidR="008815BF" w:rsidRPr="00592F59" w:rsidTr="00275B15">
        <w:trPr>
          <w:trHeight w:val="330"/>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Microsoft YaHei UI" w:eastAsia="Microsoft YaHei UI" w:hAnsi="Microsoft YaHei UI" w:cs="宋体"/>
                <w:b/>
                <w:bCs/>
                <w:color w:val="000000"/>
                <w:kern w:val="0"/>
                <w:sz w:val="22"/>
              </w:rPr>
            </w:pPr>
            <w:r w:rsidRPr="00592F59">
              <w:rPr>
                <w:rFonts w:ascii="Microsoft YaHei UI" w:eastAsia="Microsoft YaHei UI" w:hAnsi="Microsoft YaHei UI" w:cs="宋体" w:hint="eastAsia"/>
                <w:b/>
                <w:bCs/>
                <w:color w:val="000000"/>
                <w:kern w:val="0"/>
                <w:sz w:val="22"/>
                <w:szCs w:val="22"/>
              </w:rPr>
              <w:t>课程题目</w:t>
            </w:r>
          </w:p>
        </w:tc>
        <w:tc>
          <w:tcPr>
            <w:tcW w:w="3680" w:type="dxa"/>
            <w:shd w:val="clear" w:color="auto" w:fill="auto"/>
            <w:vAlign w:val="center"/>
            <w:hideMark/>
          </w:tcPr>
          <w:p w:rsidR="008815BF" w:rsidRPr="00592F59" w:rsidRDefault="008815BF" w:rsidP="00275B15">
            <w:pPr>
              <w:widowControl/>
              <w:spacing w:line="360" w:lineRule="exact"/>
              <w:jc w:val="left"/>
              <w:rPr>
                <w:rFonts w:ascii="Microsoft YaHei UI" w:eastAsia="Microsoft YaHei UI" w:hAnsi="Microsoft YaHei UI" w:cs="宋体"/>
                <w:b/>
                <w:bCs/>
                <w:color w:val="000000"/>
                <w:kern w:val="0"/>
                <w:sz w:val="22"/>
              </w:rPr>
            </w:pPr>
            <w:r w:rsidRPr="00592F59">
              <w:rPr>
                <w:rFonts w:ascii="Microsoft YaHei UI" w:eastAsia="Microsoft YaHei UI" w:hAnsi="Microsoft YaHei UI" w:cs="宋体" w:hint="eastAsia"/>
                <w:b/>
                <w:bCs/>
                <w:color w:val="000000"/>
                <w:kern w:val="0"/>
                <w:sz w:val="22"/>
                <w:szCs w:val="22"/>
              </w:rPr>
              <w:t>课程简介</w:t>
            </w:r>
          </w:p>
        </w:tc>
        <w:tc>
          <w:tcPr>
            <w:tcW w:w="4253" w:type="dxa"/>
            <w:shd w:val="clear" w:color="auto" w:fill="auto"/>
            <w:vAlign w:val="center"/>
            <w:hideMark/>
          </w:tcPr>
          <w:p w:rsidR="008815BF" w:rsidRPr="00592F59" w:rsidRDefault="008815BF" w:rsidP="00275B15">
            <w:pPr>
              <w:widowControl/>
              <w:spacing w:line="360" w:lineRule="exact"/>
              <w:jc w:val="left"/>
              <w:rPr>
                <w:rFonts w:ascii="Microsoft YaHei UI" w:eastAsia="Microsoft YaHei UI" w:hAnsi="Microsoft YaHei UI" w:cs="宋体"/>
                <w:b/>
                <w:bCs/>
                <w:color w:val="000000"/>
                <w:kern w:val="0"/>
                <w:sz w:val="22"/>
              </w:rPr>
            </w:pPr>
            <w:r w:rsidRPr="00592F59">
              <w:rPr>
                <w:rFonts w:ascii="Microsoft YaHei UI" w:eastAsia="Microsoft YaHei UI" w:hAnsi="Microsoft YaHei UI" w:cs="宋体" w:hint="eastAsia"/>
                <w:b/>
                <w:bCs/>
                <w:color w:val="000000"/>
                <w:kern w:val="0"/>
                <w:sz w:val="22"/>
                <w:szCs w:val="22"/>
              </w:rPr>
              <w:t>主要内容</w:t>
            </w:r>
          </w:p>
        </w:tc>
      </w:tr>
      <w:tr w:rsidR="008815BF" w:rsidRPr="00592F59" w:rsidTr="00275B15">
        <w:trPr>
          <w:trHeight w:val="1980"/>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“科学的力量”青少年学科学家精神系列课程</w:t>
            </w:r>
          </w:p>
        </w:tc>
        <w:tc>
          <w:tcPr>
            <w:tcW w:w="368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邀请中科院专家讲授，在青少年中弘扬胸怀祖国、服务人民的爱国精神，勇攀高峰、敢为人先的创新精神，追求真理、严谨治学的求实精神，淡泊名利、潜心研究的奉献精神，集智攻关、团结协作的协同精神，甘为人梯、奖掖后学的育人精神。</w:t>
            </w:r>
          </w:p>
        </w:tc>
        <w:tc>
          <w:tcPr>
            <w:tcW w:w="4253"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讲述李四光、钱学森、钱三强、邓稼先等一大批老一辈科学家，以及陈景润、黄大年、南仁东等一大批新中国成立后成长起来的杰出科学家的故事和事迹。</w:t>
            </w:r>
          </w:p>
        </w:tc>
      </w:tr>
      <w:tr w:rsidR="008815BF" w:rsidRPr="00592F59" w:rsidTr="00275B15">
        <w:trPr>
          <w:trHeight w:val="2310"/>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人工智能基础课程</w:t>
            </w:r>
          </w:p>
        </w:tc>
        <w:tc>
          <w:tcPr>
            <w:tcW w:w="368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课程系统介绍</w:t>
            </w:r>
            <w:r w:rsidRPr="00592F59">
              <w:rPr>
                <w:rFonts w:ascii="华文仿宋" w:eastAsia="华文仿宋" w:hAnsi="华文仿宋" w:cs="宋体" w:hint="eastAsia"/>
                <w:color w:val="000000"/>
                <w:kern w:val="0"/>
                <w:sz w:val="22"/>
                <w:szCs w:val="22"/>
              </w:rPr>
              <w:t>人工智能的基本原理、方法和技术，以及国内外研究和应用的最新进展。</w:t>
            </w:r>
          </w:p>
        </w:tc>
        <w:tc>
          <w:tcPr>
            <w:tcW w:w="4253"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1.阐述人工智能研究的发展、成果和基本原则；</w:t>
            </w:r>
            <w:r w:rsidRPr="00592F59">
              <w:rPr>
                <w:rFonts w:ascii="华文仿宋" w:eastAsia="华文仿宋" w:hAnsi="华文仿宋" w:cs="宋体" w:hint="eastAsia"/>
                <w:color w:val="000000"/>
                <w:kern w:val="0"/>
                <w:sz w:val="24"/>
                <w:szCs w:val="24"/>
              </w:rPr>
              <w:br/>
              <w:t>2.介绍人工智能基本概念、方法和技术，包括问题求解的方法和知识表示；</w:t>
            </w:r>
            <w:r w:rsidRPr="00592F59">
              <w:rPr>
                <w:rFonts w:ascii="华文仿宋" w:eastAsia="华文仿宋" w:hAnsi="华文仿宋" w:cs="宋体" w:hint="eastAsia"/>
                <w:color w:val="000000"/>
                <w:kern w:val="0"/>
                <w:sz w:val="24"/>
                <w:szCs w:val="24"/>
              </w:rPr>
              <w:br/>
              <w:t>3.讨论人工智能技术的主要应用，包括基于知识的系统、自动规划和配置以及机器学习；</w:t>
            </w:r>
            <w:r w:rsidRPr="00592F59">
              <w:rPr>
                <w:rFonts w:ascii="华文仿宋" w:eastAsia="华文仿宋" w:hAnsi="华文仿宋" w:cs="宋体" w:hint="eastAsia"/>
                <w:color w:val="000000"/>
                <w:kern w:val="0"/>
                <w:sz w:val="24"/>
                <w:szCs w:val="24"/>
              </w:rPr>
              <w:br/>
              <w:t>4.对人工智能的高级技术作引导性综述。</w:t>
            </w:r>
          </w:p>
        </w:tc>
      </w:tr>
      <w:tr w:rsidR="008815BF" w:rsidRPr="00592F59" w:rsidTr="00275B15">
        <w:trPr>
          <w:trHeight w:val="2310"/>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人工智能国际认证课程（AI 900认证）</w:t>
            </w:r>
          </w:p>
        </w:tc>
        <w:tc>
          <w:tcPr>
            <w:tcW w:w="3680"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AI-900国际认证考试是基于Azure（云计算的操作系统）的人工智能基础应用的认证。课程系统介绍包括机器学习和深度学习等智能算法在结构化数据、图片、文字和语音处理方面的应用，通过学习可以申请参加认证考试。</w:t>
            </w:r>
          </w:p>
        </w:tc>
        <w:tc>
          <w:tcPr>
            <w:tcW w:w="4253"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1.描述 AI 工作负荷和注意事项；</w:t>
            </w:r>
            <w:r w:rsidRPr="00592F59">
              <w:rPr>
                <w:rFonts w:ascii="华文仿宋" w:eastAsia="华文仿宋" w:hAnsi="华文仿宋" w:cs="宋体" w:hint="eastAsia"/>
                <w:color w:val="000000"/>
                <w:kern w:val="0"/>
                <w:sz w:val="24"/>
                <w:szCs w:val="24"/>
              </w:rPr>
              <w:br/>
              <w:t>2.描述 Azure 上机器学习的基本原理；</w:t>
            </w:r>
            <w:r w:rsidRPr="00592F59">
              <w:rPr>
                <w:rFonts w:ascii="华文仿宋" w:eastAsia="华文仿宋" w:hAnsi="华文仿宋" w:cs="宋体" w:hint="eastAsia"/>
                <w:color w:val="000000"/>
                <w:kern w:val="0"/>
                <w:sz w:val="24"/>
                <w:szCs w:val="24"/>
              </w:rPr>
              <w:br/>
              <w:t>3.描述 Azure 上的计算机视觉工作负荷的功能；</w:t>
            </w:r>
            <w:r w:rsidRPr="00592F59">
              <w:rPr>
                <w:rFonts w:ascii="华文仿宋" w:eastAsia="华文仿宋" w:hAnsi="华文仿宋" w:cs="宋体" w:hint="eastAsia"/>
                <w:color w:val="000000"/>
                <w:kern w:val="0"/>
                <w:sz w:val="24"/>
                <w:szCs w:val="24"/>
              </w:rPr>
              <w:br/>
              <w:t>4.描述 Azure上自然语言处理（NLP）工作负荷的特性；</w:t>
            </w:r>
            <w:r w:rsidRPr="00592F59">
              <w:rPr>
                <w:rFonts w:ascii="华文仿宋" w:eastAsia="华文仿宋" w:hAnsi="华文仿宋" w:cs="宋体" w:hint="eastAsia"/>
                <w:color w:val="000000"/>
                <w:kern w:val="0"/>
                <w:sz w:val="24"/>
                <w:szCs w:val="24"/>
              </w:rPr>
              <w:br/>
              <w:t>5.描述 Azure 上的对话式 AI 工作负荷的功能。</w:t>
            </w:r>
          </w:p>
        </w:tc>
      </w:tr>
      <w:tr w:rsidR="008815BF" w:rsidRPr="00592F59" w:rsidTr="00275B15">
        <w:trPr>
          <w:trHeight w:val="4620"/>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lastRenderedPageBreak/>
              <w:t>Office办公软件应用课程</w:t>
            </w:r>
          </w:p>
        </w:tc>
        <w:tc>
          <w:tcPr>
            <w:tcW w:w="3680"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课程详细讲述Word、PPT、Excel中的实用技巧，针对办公场景下office的难点和普遍的不当用法，给出了专业的讲解和设计规范，帮助青少年进一步了解学习、工作中的实际应用场景和复杂任务的解决方案。</w:t>
            </w:r>
          </w:p>
        </w:tc>
        <w:tc>
          <w:tcPr>
            <w:tcW w:w="4253"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1.Word长文档排版成册规范。课程内容对于规范化设计提出了详尽的指导方法，集成了Word的精华功能，涵盖了从开始设计文档时的页面设置，到最终排版成册的每个环节。</w:t>
            </w:r>
            <w:r w:rsidRPr="00592F59">
              <w:rPr>
                <w:rFonts w:ascii="华文仿宋" w:eastAsia="华文仿宋" w:hAnsi="华文仿宋" w:cs="宋体" w:hint="eastAsia"/>
                <w:color w:val="000000"/>
                <w:kern w:val="0"/>
                <w:sz w:val="24"/>
                <w:szCs w:val="24"/>
              </w:rPr>
              <w:br/>
              <w:t>2.PowerPoint幻灯片设计规范。课程将从大纲和分节开始，指导青少年学会快速归纳演讲内容和逻辑。课程对于平面设计也会有所帮助，可以使青少年从幻灯片设计规范的角度，做出更优秀的演示文稿；</w:t>
            </w:r>
            <w:r w:rsidRPr="00592F59">
              <w:rPr>
                <w:rFonts w:ascii="华文仿宋" w:eastAsia="华文仿宋" w:hAnsi="华文仿宋" w:cs="宋体" w:hint="eastAsia"/>
                <w:color w:val="000000"/>
                <w:kern w:val="0"/>
                <w:sz w:val="24"/>
                <w:szCs w:val="24"/>
              </w:rPr>
              <w:br/>
              <w:t>3.Excel大幅提效技巧和智能数据呈现。课程精选了两方面内容，一是介绍具有普适性的技巧，使常见工作的效率大幅提升；二是介绍数据标识的用法，它能够广泛用于各种部门或行业，对重要数据进行自动标记等。</w:t>
            </w:r>
          </w:p>
        </w:tc>
      </w:tr>
      <w:tr w:rsidR="008815BF" w:rsidRPr="00592F59" w:rsidTr="00275B15">
        <w:trPr>
          <w:trHeight w:val="1320"/>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Excel数据处理专业课程</w:t>
            </w:r>
          </w:p>
        </w:tc>
        <w:tc>
          <w:tcPr>
            <w:tcW w:w="368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课程详细讲述了Excel 软件在数据处理和表单处理方面的专业性应用。</w:t>
            </w:r>
          </w:p>
        </w:tc>
        <w:tc>
          <w:tcPr>
            <w:tcW w:w="4253"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1.管理工作表与工作簿；</w:t>
            </w:r>
            <w:r w:rsidRPr="00592F59">
              <w:rPr>
                <w:rFonts w:ascii="华文仿宋" w:eastAsia="华文仿宋" w:hAnsi="华文仿宋" w:cs="宋体" w:hint="eastAsia"/>
                <w:color w:val="000000"/>
                <w:kern w:val="0"/>
                <w:sz w:val="24"/>
                <w:szCs w:val="24"/>
              </w:rPr>
              <w:br/>
              <w:t>2.管理数据单元格和数据区域；</w:t>
            </w:r>
            <w:r w:rsidRPr="00592F59">
              <w:rPr>
                <w:rFonts w:ascii="华文仿宋" w:eastAsia="华文仿宋" w:hAnsi="华文仿宋" w:cs="宋体" w:hint="eastAsia"/>
                <w:color w:val="000000"/>
                <w:kern w:val="0"/>
                <w:sz w:val="24"/>
                <w:szCs w:val="24"/>
              </w:rPr>
              <w:br/>
              <w:t>3.管理表和表数据应用公式和函数处理器；</w:t>
            </w:r>
            <w:r w:rsidRPr="00592F59">
              <w:rPr>
                <w:rFonts w:ascii="华文仿宋" w:eastAsia="华文仿宋" w:hAnsi="华文仿宋" w:cs="宋体" w:hint="eastAsia"/>
                <w:color w:val="000000"/>
                <w:kern w:val="0"/>
                <w:sz w:val="24"/>
                <w:szCs w:val="24"/>
              </w:rPr>
              <w:br/>
              <w:t>4.管理图表。</w:t>
            </w:r>
          </w:p>
        </w:tc>
      </w:tr>
      <w:tr w:rsidR="008815BF" w:rsidRPr="00592F59" w:rsidTr="00275B15">
        <w:trPr>
          <w:trHeight w:val="1980"/>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Python编程设计课程</w:t>
            </w:r>
          </w:p>
        </w:tc>
        <w:tc>
          <w:tcPr>
            <w:tcW w:w="3680"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课程系统讲述如何编写基础 Python 代码、声明变量以及处理控制台输入和输出相关数学原理的介绍，以及示例演示。帮助青少年夯实编程基础，为未来在程序开发，数据分析以及自动化办公方面的学习打下基础。</w:t>
            </w:r>
          </w:p>
        </w:tc>
        <w:tc>
          <w:tcPr>
            <w:tcW w:w="4253"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1.Python 基础知识；</w:t>
            </w:r>
            <w:r w:rsidRPr="00592F59">
              <w:rPr>
                <w:rFonts w:ascii="华文仿宋" w:eastAsia="华文仿宋" w:hAnsi="华文仿宋" w:cs="宋体" w:hint="eastAsia"/>
                <w:color w:val="000000"/>
                <w:kern w:val="0"/>
                <w:sz w:val="24"/>
                <w:szCs w:val="24"/>
              </w:rPr>
              <w:br/>
              <w:t>2.认识Python 库；</w:t>
            </w:r>
            <w:r w:rsidRPr="00592F59">
              <w:rPr>
                <w:rFonts w:ascii="华文仿宋" w:eastAsia="华文仿宋" w:hAnsi="华文仿宋" w:cs="宋体" w:hint="eastAsia"/>
                <w:color w:val="000000"/>
                <w:kern w:val="0"/>
                <w:sz w:val="24"/>
                <w:szCs w:val="24"/>
              </w:rPr>
              <w:br/>
              <w:t>3.Python流程控制；</w:t>
            </w:r>
            <w:r w:rsidRPr="00592F59">
              <w:rPr>
                <w:rFonts w:ascii="华文仿宋" w:eastAsia="华文仿宋" w:hAnsi="华文仿宋" w:cs="宋体" w:hint="eastAsia"/>
                <w:color w:val="000000"/>
                <w:kern w:val="0"/>
                <w:sz w:val="24"/>
                <w:szCs w:val="24"/>
              </w:rPr>
              <w:br/>
              <w:t>4.Python有序对象系列课程；</w:t>
            </w:r>
            <w:r w:rsidRPr="00592F59">
              <w:rPr>
                <w:rFonts w:ascii="华文仿宋" w:eastAsia="华文仿宋" w:hAnsi="华文仿宋" w:cs="宋体" w:hint="eastAsia"/>
                <w:color w:val="000000"/>
                <w:kern w:val="0"/>
                <w:sz w:val="24"/>
                <w:szCs w:val="24"/>
              </w:rPr>
              <w:br/>
              <w:t>5.优化代码利器—Python 自定义函数。</w:t>
            </w:r>
          </w:p>
        </w:tc>
      </w:tr>
      <w:tr w:rsidR="008815BF" w:rsidRPr="00592F59" w:rsidTr="00275B15">
        <w:trPr>
          <w:trHeight w:val="2137"/>
          <w:jc w:val="center"/>
        </w:trPr>
        <w:tc>
          <w:tcPr>
            <w:tcW w:w="1560"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Dialog Engine智能对话机器人设计课程</w:t>
            </w:r>
          </w:p>
        </w:tc>
        <w:tc>
          <w:tcPr>
            <w:tcW w:w="3680"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 xml:space="preserve">课程详细指导青少年如何基于Dialog Engine构造自己的智能对话机器人。                                                                                                                                                                                                                                                                                                                                                   </w:t>
            </w:r>
          </w:p>
        </w:tc>
        <w:tc>
          <w:tcPr>
            <w:tcW w:w="4253"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1.讲解智能对话系统的原理；</w:t>
            </w:r>
            <w:r w:rsidRPr="00592F59">
              <w:rPr>
                <w:rFonts w:ascii="华文仿宋" w:eastAsia="华文仿宋" w:hAnsi="华文仿宋" w:cs="宋体" w:hint="eastAsia"/>
                <w:color w:val="000000"/>
                <w:kern w:val="0"/>
                <w:sz w:val="24"/>
                <w:szCs w:val="24"/>
              </w:rPr>
              <w:br/>
              <w:t>2.Dialog Engine智能对话软件设计平台的使用方法。</w:t>
            </w:r>
          </w:p>
        </w:tc>
      </w:tr>
      <w:tr w:rsidR="008815BF" w:rsidRPr="00592F59" w:rsidTr="00275B15">
        <w:trPr>
          <w:trHeight w:val="841"/>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lastRenderedPageBreak/>
              <w:t>Power BI数据处理与可视化设计课程</w:t>
            </w:r>
          </w:p>
        </w:tc>
        <w:tc>
          <w:tcPr>
            <w:tcW w:w="368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课程围绕Power BI 数据分析工具的使用进行讲解。</w:t>
            </w:r>
          </w:p>
        </w:tc>
        <w:tc>
          <w:tcPr>
            <w:tcW w:w="4253" w:type="dxa"/>
            <w:shd w:val="clear" w:color="auto" w:fill="auto"/>
            <w:vAlign w:val="center"/>
            <w:hideMark/>
          </w:tcPr>
          <w:p w:rsidR="008815BF" w:rsidRPr="00592F59" w:rsidRDefault="008815BF" w:rsidP="00275B15">
            <w:pPr>
              <w:widowControl/>
              <w:spacing w:line="360" w:lineRule="exac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1. 数据分析的历史和应用现状，培养学习兴趣，建立基本数据分析思维；</w:t>
            </w:r>
            <w:r w:rsidRPr="00592F59">
              <w:rPr>
                <w:rFonts w:ascii="华文仿宋" w:eastAsia="华文仿宋" w:hAnsi="华文仿宋" w:cs="宋体" w:hint="eastAsia"/>
                <w:color w:val="000000"/>
                <w:kern w:val="0"/>
                <w:sz w:val="24"/>
                <w:szCs w:val="24"/>
              </w:rPr>
              <w:br/>
              <w:t>2. 数据获取与整理，如果通过Power BI 工具对数据进行清洗整理；</w:t>
            </w:r>
            <w:r w:rsidRPr="00592F59">
              <w:rPr>
                <w:rFonts w:ascii="华文仿宋" w:eastAsia="华文仿宋" w:hAnsi="华文仿宋" w:cs="宋体" w:hint="eastAsia"/>
                <w:color w:val="000000"/>
                <w:kern w:val="0"/>
                <w:sz w:val="24"/>
                <w:szCs w:val="24"/>
              </w:rPr>
              <w:br/>
              <w:t>3. 数据分析模型搭建</w:t>
            </w:r>
            <w:r>
              <w:rPr>
                <w:rFonts w:ascii="华文仿宋" w:eastAsia="华文仿宋" w:hAnsi="华文仿宋" w:cs="宋体" w:hint="eastAsia"/>
                <w:color w:val="000000"/>
                <w:kern w:val="0"/>
                <w:sz w:val="24"/>
                <w:szCs w:val="24"/>
              </w:rPr>
              <w:t>——</w:t>
            </w:r>
            <w:r w:rsidRPr="00592F59">
              <w:rPr>
                <w:rFonts w:ascii="华文仿宋" w:eastAsia="华文仿宋" w:hAnsi="华文仿宋" w:cs="宋体" w:hint="eastAsia"/>
                <w:color w:val="000000"/>
                <w:kern w:val="0"/>
                <w:sz w:val="24"/>
                <w:szCs w:val="24"/>
              </w:rPr>
              <w:t>根据分析需求，搭建相应数据分析模型；</w:t>
            </w:r>
            <w:r w:rsidRPr="00592F59">
              <w:rPr>
                <w:rFonts w:ascii="华文仿宋" w:eastAsia="华文仿宋" w:hAnsi="华文仿宋" w:cs="宋体" w:hint="eastAsia"/>
                <w:color w:val="000000"/>
                <w:kern w:val="0"/>
                <w:sz w:val="24"/>
                <w:szCs w:val="24"/>
              </w:rPr>
              <w:br/>
              <w:t>4. 数据可视化</w:t>
            </w:r>
            <w:r>
              <w:rPr>
                <w:rFonts w:ascii="华文仿宋" w:eastAsia="华文仿宋" w:hAnsi="华文仿宋" w:cs="宋体" w:hint="eastAsia"/>
                <w:color w:val="000000"/>
                <w:kern w:val="0"/>
                <w:sz w:val="24"/>
                <w:szCs w:val="24"/>
              </w:rPr>
              <w:t>——</w:t>
            </w:r>
            <w:r w:rsidRPr="00592F59">
              <w:rPr>
                <w:rFonts w:ascii="华文仿宋" w:eastAsia="华文仿宋" w:hAnsi="华文仿宋" w:cs="宋体" w:hint="eastAsia"/>
                <w:color w:val="000000"/>
                <w:kern w:val="0"/>
                <w:sz w:val="24"/>
                <w:szCs w:val="24"/>
              </w:rPr>
              <w:t>如何用图形化的方式将数据呈现出来。</w:t>
            </w:r>
          </w:p>
        </w:tc>
      </w:tr>
      <w:tr w:rsidR="008815BF" w:rsidRPr="00592F59" w:rsidTr="00275B15">
        <w:trPr>
          <w:trHeight w:val="1320"/>
          <w:jc w:val="center"/>
        </w:trPr>
        <w:tc>
          <w:tcPr>
            <w:tcW w:w="156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职业发展与规划课程</w:t>
            </w:r>
          </w:p>
        </w:tc>
        <w:tc>
          <w:tcPr>
            <w:tcW w:w="3680"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课程为准备毕业后直接就业的中职院校青少年提供职业发展与规划方面的知识。</w:t>
            </w:r>
          </w:p>
        </w:tc>
        <w:tc>
          <w:tcPr>
            <w:tcW w:w="4253" w:type="dxa"/>
            <w:shd w:val="clear" w:color="auto" w:fill="auto"/>
            <w:vAlign w:val="center"/>
            <w:hideMark/>
          </w:tcPr>
          <w:p w:rsidR="008815BF" w:rsidRPr="00592F59" w:rsidRDefault="008815BF" w:rsidP="00275B15">
            <w:pPr>
              <w:widowControl/>
              <w:spacing w:line="360" w:lineRule="exact"/>
              <w:jc w:val="left"/>
              <w:rPr>
                <w:rFonts w:ascii="华文仿宋" w:eastAsia="华文仿宋" w:hAnsi="华文仿宋" w:cs="宋体"/>
                <w:color w:val="000000"/>
                <w:kern w:val="0"/>
                <w:sz w:val="24"/>
                <w:szCs w:val="24"/>
              </w:rPr>
            </w:pPr>
            <w:r w:rsidRPr="00592F59">
              <w:rPr>
                <w:rFonts w:ascii="华文仿宋" w:eastAsia="华文仿宋" w:hAnsi="华文仿宋" w:cs="宋体" w:hint="eastAsia"/>
                <w:color w:val="000000"/>
                <w:kern w:val="0"/>
                <w:sz w:val="24"/>
                <w:szCs w:val="24"/>
              </w:rPr>
              <w:t>1.职业发展与规划；</w:t>
            </w:r>
            <w:r w:rsidRPr="00592F59">
              <w:rPr>
                <w:rFonts w:ascii="华文仿宋" w:eastAsia="华文仿宋" w:hAnsi="华文仿宋" w:cs="宋体" w:hint="eastAsia"/>
                <w:color w:val="000000"/>
                <w:kern w:val="0"/>
                <w:sz w:val="24"/>
                <w:szCs w:val="24"/>
              </w:rPr>
              <w:br/>
              <w:t>2.简历设计、面试技巧；</w:t>
            </w:r>
            <w:r w:rsidRPr="00592F59">
              <w:rPr>
                <w:rFonts w:ascii="华文仿宋" w:eastAsia="华文仿宋" w:hAnsi="华文仿宋" w:cs="宋体" w:hint="eastAsia"/>
                <w:color w:val="000000"/>
                <w:kern w:val="0"/>
                <w:sz w:val="24"/>
                <w:szCs w:val="24"/>
              </w:rPr>
              <w:br/>
              <w:t>3.建立自信、成长思维培养、终生学习习惯培养、压力管理、挫折管理。</w:t>
            </w:r>
          </w:p>
        </w:tc>
      </w:tr>
    </w:tbl>
    <w:p w:rsidR="008815BF" w:rsidRPr="00592F59" w:rsidRDefault="008815BF" w:rsidP="008815BF">
      <w:pPr>
        <w:rPr>
          <w:rFonts w:ascii="Microsoft YaHei UI" w:eastAsia="Microsoft YaHei UI" w:hAnsi="Microsoft YaHei UI"/>
        </w:rPr>
      </w:pPr>
    </w:p>
    <w:p w:rsidR="008815BF" w:rsidRPr="009D09A6" w:rsidRDefault="008815BF" w:rsidP="008815BF"/>
    <w:p w:rsidR="00BF5551" w:rsidRPr="008815BF" w:rsidRDefault="00BF5551"/>
    <w:sectPr w:rsidR="00BF5551" w:rsidRPr="008815BF" w:rsidSect="0014193A">
      <w:footerReference w:type="default" r:id="rId4"/>
      <w:pgSz w:w="11906" w:h="16838"/>
      <w:pgMar w:top="1985" w:right="1588" w:bottom="1985"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Microsoft YaHei UI">
    <w:altName w:val="微软雅黑"/>
    <w:charset w:val="86"/>
    <w:family w:val="swiss"/>
    <w:pitch w:val="variable"/>
    <w:sig w:usb0="00000000"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B8" w:rsidRDefault="008815BF">
    <w:pPr>
      <w:pStyle w:val="a3"/>
      <w:jc w:val="center"/>
      <w:rPr>
        <w:rFonts w:cs="Times New Roman"/>
      </w:rPr>
    </w:pPr>
    <w:r w:rsidRPr="007B4119">
      <w:fldChar w:fldCharType="begin"/>
    </w:r>
    <w:r>
      <w:instrText>PAGE   \* MERGEFORMAT</w:instrText>
    </w:r>
    <w:r w:rsidRPr="007B4119">
      <w:fldChar w:fldCharType="separate"/>
    </w:r>
    <w:r w:rsidRPr="008815BF">
      <w:rPr>
        <w:noProof/>
        <w:lang w:val="zh-CN"/>
      </w:rPr>
      <w:t>-</w:t>
    </w:r>
    <w:r>
      <w:rPr>
        <w:noProof/>
      </w:rPr>
      <w:t xml:space="preserve"> 1 -</w:t>
    </w:r>
    <w:r>
      <w:rPr>
        <w:noProof/>
        <w:lang w:val="zh-CN"/>
      </w:rPr>
      <w:fldChar w:fldCharType="end"/>
    </w:r>
  </w:p>
  <w:p w:rsidR="00B338B8" w:rsidRDefault="008815BF">
    <w:pPr>
      <w:pStyle w:val="a3"/>
      <w:rPr>
        <w:rFonts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5BF"/>
    <w:rsid w:val="008815BF"/>
    <w:rsid w:val="00BF5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B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15BF"/>
    <w:pPr>
      <w:tabs>
        <w:tab w:val="center" w:pos="4153"/>
        <w:tab w:val="right" w:pos="8306"/>
      </w:tabs>
      <w:snapToGrid w:val="0"/>
      <w:jc w:val="left"/>
    </w:pPr>
    <w:rPr>
      <w:sz w:val="18"/>
      <w:szCs w:val="18"/>
    </w:rPr>
  </w:style>
  <w:style w:type="character" w:customStyle="1" w:styleId="Char">
    <w:name w:val="页脚 Char"/>
    <w:basedOn w:val="a0"/>
    <w:link w:val="a3"/>
    <w:uiPriority w:val="99"/>
    <w:rsid w:val="008815BF"/>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2021-06-30T06:35:00Z</dcterms:created>
  <dcterms:modified xsi:type="dcterms:W3CDTF">2021-06-30T06:36:00Z</dcterms:modified>
</cp:coreProperties>
</file>